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9D" w:rsidRPr="003C789D" w:rsidRDefault="003C789D" w:rsidP="003C789D">
      <w:pPr>
        <w:spacing w:before="69"/>
        <w:ind w:left="1487" w:right="1365"/>
        <w:jc w:val="center"/>
        <w:rPr>
          <w:b/>
          <w:sz w:val="40"/>
          <w:szCs w:val="40"/>
        </w:rPr>
      </w:pPr>
      <w:r w:rsidRPr="003C789D">
        <w:rPr>
          <w:b/>
          <w:sz w:val="40"/>
          <w:szCs w:val="40"/>
          <w:u w:val="thick"/>
        </w:rPr>
        <w:t>SGN TELECOMS LIMITED</w:t>
      </w:r>
    </w:p>
    <w:p w:rsidR="00F70036" w:rsidRDefault="00F70036">
      <w:pPr>
        <w:pStyle w:val="BodyText"/>
        <w:rPr>
          <w:b/>
          <w:sz w:val="20"/>
        </w:rPr>
      </w:pPr>
    </w:p>
    <w:p w:rsidR="00F70036" w:rsidRDefault="003C789D">
      <w:pPr>
        <w:spacing w:before="232"/>
        <w:ind w:left="1695" w:right="1712"/>
        <w:jc w:val="center"/>
        <w:rPr>
          <w:b/>
          <w:sz w:val="40"/>
        </w:rPr>
      </w:pPr>
      <w:r>
        <w:rPr>
          <w:b/>
          <w:sz w:val="40"/>
          <w:u w:val="thick"/>
        </w:rPr>
        <w:t>Whistle-blower Policy</w:t>
      </w:r>
    </w:p>
    <w:p w:rsidR="00F70036" w:rsidRDefault="00F70036">
      <w:pPr>
        <w:pStyle w:val="BodyText"/>
        <w:rPr>
          <w:b/>
          <w:sz w:val="20"/>
        </w:rPr>
      </w:pPr>
    </w:p>
    <w:p w:rsidR="00F70036" w:rsidRDefault="00F70036">
      <w:pPr>
        <w:pStyle w:val="BodyText"/>
        <w:spacing w:before="10"/>
        <w:rPr>
          <w:b/>
          <w:sz w:val="19"/>
        </w:rPr>
      </w:pPr>
    </w:p>
    <w:p w:rsidR="00F70036" w:rsidRDefault="003C789D">
      <w:pPr>
        <w:pStyle w:val="Heading2"/>
        <w:numPr>
          <w:ilvl w:val="0"/>
          <w:numId w:val="3"/>
        </w:numPr>
        <w:tabs>
          <w:tab w:val="left" w:pos="522"/>
          <w:tab w:val="left" w:pos="523"/>
        </w:tabs>
        <w:spacing w:before="90"/>
      </w:pPr>
      <w:r>
        <w:t>General</w:t>
      </w:r>
    </w:p>
    <w:p w:rsidR="00F70036" w:rsidRDefault="00F70036">
      <w:pPr>
        <w:pStyle w:val="BodyText"/>
        <w:spacing w:before="6"/>
        <w:rPr>
          <w:b/>
          <w:sz w:val="23"/>
        </w:rPr>
      </w:pPr>
    </w:p>
    <w:p w:rsidR="00F70036" w:rsidRDefault="003C789D">
      <w:pPr>
        <w:pStyle w:val="BodyText"/>
        <w:ind w:left="100" w:right="122"/>
        <w:jc w:val="both"/>
      </w:pPr>
      <w:r>
        <w:t>SGN Telecoms</w:t>
      </w:r>
      <w:r>
        <w:t xml:space="preserve"> Limited (the Company) expects its directors, officers, employees, and other representatives to observe high standards of business and personal ethics in the conduct of their duties and responsibilities. As employees and representatives of t</w:t>
      </w:r>
      <w:r>
        <w:t>he Company, we must practice honesty and integrity in fulfilling our responsibilities and comply with all applicable laws and regulations.</w:t>
      </w:r>
    </w:p>
    <w:p w:rsidR="00F70036" w:rsidRDefault="00F70036">
      <w:pPr>
        <w:pStyle w:val="BodyText"/>
      </w:pPr>
    </w:p>
    <w:p w:rsidR="00F70036" w:rsidRDefault="003C789D">
      <w:pPr>
        <w:pStyle w:val="BodyText"/>
        <w:spacing w:before="1"/>
        <w:ind w:left="100" w:right="123"/>
        <w:jc w:val="both"/>
      </w:pPr>
      <w:r>
        <w:t>Section 177 (9) of the Companies Act, 2013 read with Rule 7 of the Companies (Meeting of Board and its Powers) Rules</w:t>
      </w:r>
      <w:r>
        <w:t xml:space="preserve">, 2014 mandates the following classes of companies to </w:t>
      </w:r>
      <w:proofErr w:type="gramStart"/>
      <w:r>
        <w:t>constitute</w:t>
      </w:r>
      <w:proofErr w:type="gramEnd"/>
      <w:r>
        <w:t xml:space="preserve"> a vigil mechanism –</w:t>
      </w:r>
    </w:p>
    <w:p w:rsidR="00F70036" w:rsidRDefault="003C789D">
      <w:pPr>
        <w:pStyle w:val="ListParagraph"/>
        <w:numPr>
          <w:ilvl w:val="0"/>
          <w:numId w:val="2"/>
        </w:numPr>
        <w:tabs>
          <w:tab w:val="left" w:pos="408"/>
        </w:tabs>
        <w:spacing w:before="48"/>
        <w:ind w:left="407"/>
        <w:rPr>
          <w:sz w:val="24"/>
        </w:rPr>
      </w:pPr>
      <w:r>
        <w:rPr>
          <w:sz w:val="24"/>
        </w:rPr>
        <w:t>Every listed</w:t>
      </w:r>
      <w:r>
        <w:rPr>
          <w:spacing w:val="-2"/>
          <w:sz w:val="24"/>
        </w:rPr>
        <w:t xml:space="preserve"> </w:t>
      </w:r>
      <w:r>
        <w:rPr>
          <w:sz w:val="24"/>
        </w:rPr>
        <w:t>company;</w:t>
      </w:r>
    </w:p>
    <w:p w:rsidR="00F70036" w:rsidRDefault="003C789D">
      <w:pPr>
        <w:pStyle w:val="ListParagraph"/>
        <w:numPr>
          <w:ilvl w:val="0"/>
          <w:numId w:val="2"/>
        </w:numPr>
        <w:tabs>
          <w:tab w:val="left" w:pos="408"/>
        </w:tabs>
        <w:spacing w:before="80"/>
        <w:ind w:left="407"/>
        <w:rPr>
          <w:sz w:val="24"/>
        </w:rPr>
      </w:pPr>
      <w:r>
        <w:rPr>
          <w:sz w:val="24"/>
        </w:rPr>
        <w:t>Every other company which accepts deposits from the</w:t>
      </w:r>
      <w:r>
        <w:rPr>
          <w:spacing w:val="-15"/>
          <w:sz w:val="24"/>
        </w:rPr>
        <w:t xml:space="preserve"> </w:t>
      </w:r>
      <w:r>
        <w:rPr>
          <w:sz w:val="24"/>
        </w:rPr>
        <w:t>public;</w:t>
      </w:r>
    </w:p>
    <w:p w:rsidR="00F70036" w:rsidRDefault="003C789D">
      <w:pPr>
        <w:pStyle w:val="ListParagraph"/>
        <w:numPr>
          <w:ilvl w:val="0"/>
          <w:numId w:val="2"/>
        </w:numPr>
        <w:tabs>
          <w:tab w:val="left" w:pos="499"/>
        </w:tabs>
        <w:spacing w:before="79" w:line="264" w:lineRule="auto"/>
        <w:ind w:right="120" w:firstLine="0"/>
        <w:rPr>
          <w:sz w:val="24"/>
        </w:rPr>
      </w:pPr>
      <w:r>
        <w:rPr>
          <w:sz w:val="24"/>
        </w:rPr>
        <w:t xml:space="preserve">Every company which has borrowed money from banks and public financial institutions </w:t>
      </w:r>
      <w:r>
        <w:rPr>
          <w:spacing w:val="-3"/>
          <w:sz w:val="24"/>
        </w:rPr>
        <w:t xml:space="preserve">in </w:t>
      </w:r>
      <w:r>
        <w:rPr>
          <w:sz w:val="24"/>
        </w:rPr>
        <w:t>ex</w:t>
      </w:r>
      <w:r>
        <w:rPr>
          <w:sz w:val="24"/>
        </w:rPr>
        <w:t>cess of Rs. 50</w:t>
      </w:r>
      <w:r>
        <w:rPr>
          <w:spacing w:val="4"/>
          <w:sz w:val="24"/>
        </w:rPr>
        <w:t xml:space="preserve"> </w:t>
      </w:r>
      <w:proofErr w:type="spellStart"/>
      <w:r>
        <w:rPr>
          <w:sz w:val="24"/>
        </w:rPr>
        <w:t>crores</w:t>
      </w:r>
      <w:proofErr w:type="spellEnd"/>
      <w:r>
        <w:rPr>
          <w:sz w:val="24"/>
        </w:rPr>
        <w:t>.</w:t>
      </w:r>
    </w:p>
    <w:p w:rsidR="00F70036" w:rsidRDefault="00F70036">
      <w:pPr>
        <w:pStyle w:val="BodyText"/>
        <w:spacing w:before="5"/>
        <w:rPr>
          <w:sz w:val="21"/>
        </w:rPr>
      </w:pPr>
    </w:p>
    <w:p w:rsidR="00F70036" w:rsidRDefault="003C789D">
      <w:pPr>
        <w:pStyle w:val="BodyText"/>
        <w:spacing w:before="1"/>
        <w:ind w:left="100" w:right="115"/>
        <w:jc w:val="both"/>
      </w:pPr>
      <w:r>
        <w:t xml:space="preserve">Further, Regulation 18 of </w:t>
      </w:r>
      <w:r>
        <w:t>the Listing Regulations</w:t>
      </w:r>
      <w:r>
        <w:rPr>
          <w:i/>
        </w:rPr>
        <w:t xml:space="preserve">, </w:t>
      </w:r>
      <w:r>
        <w:t xml:space="preserve">provides for a mandatory requirement for all listed companies to establish a mechanism called the ‘Whistleblower Policy’ for directors and employees to report concerns of unethical </w:t>
      </w:r>
      <w:proofErr w:type="spellStart"/>
      <w:r>
        <w:t>behaviour</w:t>
      </w:r>
      <w:proofErr w:type="spellEnd"/>
      <w:r>
        <w:t>, actual or suspected, fraud or violation of the Company’s code of</w:t>
      </w:r>
      <w:r>
        <w:t xml:space="preserve"> conduct or ethics policy.</w:t>
      </w:r>
    </w:p>
    <w:p w:rsidR="00F70036" w:rsidRDefault="00F70036">
      <w:pPr>
        <w:pStyle w:val="BodyText"/>
        <w:spacing w:before="4"/>
      </w:pPr>
    </w:p>
    <w:p w:rsidR="00F70036" w:rsidRDefault="003C789D">
      <w:pPr>
        <w:pStyle w:val="Heading2"/>
        <w:numPr>
          <w:ilvl w:val="0"/>
          <w:numId w:val="3"/>
        </w:numPr>
        <w:tabs>
          <w:tab w:val="left" w:pos="460"/>
        </w:tabs>
        <w:spacing w:before="1"/>
        <w:ind w:left="460" w:hanging="360"/>
      </w:pPr>
      <w:r>
        <w:t>Definitions</w:t>
      </w:r>
    </w:p>
    <w:p w:rsidR="00F70036" w:rsidRDefault="00F70036">
      <w:pPr>
        <w:pStyle w:val="BodyText"/>
        <w:spacing w:before="6"/>
        <w:rPr>
          <w:b/>
          <w:sz w:val="23"/>
        </w:rPr>
      </w:pPr>
    </w:p>
    <w:p w:rsidR="00F70036" w:rsidRDefault="003C789D">
      <w:pPr>
        <w:pStyle w:val="BodyText"/>
        <w:ind w:left="100"/>
        <w:jc w:val="both"/>
      </w:pPr>
      <w:r>
        <w:t>The definitions of some of the key terms used in this Policy are given below.</w:t>
      </w:r>
    </w:p>
    <w:p w:rsidR="00F70036" w:rsidRDefault="00F70036">
      <w:pPr>
        <w:pStyle w:val="BodyText"/>
      </w:pPr>
    </w:p>
    <w:p w:rsidR="00F70036" w:rsidRDefault="003C789D">
      <w:pPr>
        <w:pStyle w:val="ListParagraph"/>
        <w:numPr>
          <w:ilvl w:val="0"/>
          <w:numId w:val="1"/>
        </w:numPr>
        <w:tabs>
          <w:tab w:val="left" w:pos="331"/>
        </w:tabs>
        <w:ind w:right="119" w:firstLine="0"/>
        <w:jc w:val="both"/>
        <w:rPr>
          <w:sz w:val="24"/>
        </w:rPr>
      </w:pPr>
      <w:r>
        <w:rPr>
          <w:b/>
          <w:sz w:val="24"/>
        </w:rPr>
        <w:t xml:space="preserve">“Audit Committee” </w:t>
      </w:r>
      <w:r>
        <w:rPr>
          <w:sz w:val="24"/>
        </w:rPr>
        <w:t xml:space="preserve">means the Audit Committee constituted by the Board of Directors of the Company </w:t>
      </w:r>
      <w:r>
        <w:rPr>
          <w:spacing w:val="-3"/>
          <w:sz w:val="24"/>
        </w:rPr>
        <w:t xml:space="preserve">in </w:t>
      </w:r>
      <w:r>
        <w:rPr>
          <w:sz w:val="24"/>
        </w:rPr>
        <w:t>accordance with Section 177 of the C</w:t>
      </w:r>
      <w:r>
        <w:rPr>
          <w:sz w:val="24"/>
        </w:rPr>
        <w:t>ompanies Act, 2013 and read with Clause 49 of the Listing Agreement with the Stock</w:t>
      </w:r>
      <w:r>
        <w:rPr>
          <w:spacing w:val="-7"/>
          <w:sz w:val="24"/>
        </w:rPr>
        <w:t xml:space="preserve"> </w:t>
      </w:r>
      <w:r>
        <w:rPr>
          <w:sz w:val="24"/>
        </w:rPr>
        <w:t>Exchanges</w:t>
      </w:r>
    </w:p>
    <w:p w:rsidR="00F70036" w:rsidRDefault="003C789D">
      <w:pPr>
        <w:pStyle w:val="ListParagraph"/>
        <w:numPr>
          <w:ilvl w:val="0"/>
          <w:numId w:val="1"/>
        </w:numPr>
        <w:tabs>
          <w:tab w:val="left" w:pos="379"/>
        </w:tabs>
        <w:spacing w:before="5" w:line="237" w:lineRule="auto"/>
        <w:ind w:right="127" w:firstLine="0"/>
        <w:jc w:val="both"/>
        <w:rPr>
          <w:sz w:val="24"/>
        </w:rPr>
      </w:pPr>
      <w:r>
        <w:rPr>
          <w:b/>
          <w:sz w:val="24"/>
        </w:rPr>
        <w:t xml:space="preserve">“Employee” </w:t>
      </w:r>
      <w:r>
        <w:rPr>
          <w:sz w:val="24"/>
        </w:rPr>
        <w:t xml:space="preserve">means every employee of the Company including the directors </w:t>
      </w:r>
      <w:r>
        <w:rPr>
          <w:spacing w:val="-3"/>
          <w:sz w:val="24"/>
        </w:rPr>
        <w:t xml:space="preserve">in </w:t>
      </w:r>
      <w:r>
        <w:rPr>
          <w:sz w:val="24"/>
        </w:rPr>
        <w:t>the employment of the</w:t>
      </w:r>
      <w:r>
        <w:rPr>
          <w:spacing w:val="-3"/>
          <w:sz w:val="24"/>
        </w:rPr>
        <w:t xml:space="preserve"> </w:t>
      </w:r>
      <w:r>
        <w:rPr>
          <w:sz w:val="24"/>
        </w:rPr>
        <w:t>Company.</w:t>
      </w:r>
    </w:p>
    <w:p w:rsidR="00F70036" w:rsidRDefault="003C789D">
      <w:pPr>
        <w:pStyle w:val="BodyText"/>
        <w:spacing w:before="6" w:line="237" w:lineRule="auto"/>
        <w:ind w:left="100" w:right="125"/>
        <w:jc w:val="both"/>
      </w:pPr>
      <w:r>
        <w:t xml:space="preserve">e. </w:t>
      </w:r>
      <w:r>
        <w:rPr>
          <w:b/>
        </w:rPr>
        <w:t xml:space="preserve">“Protected Disclosure” </w:t>
      </w:r>
      <w:r>
        <w:t xml:space="preserve">means any communication made </w:t>
      </w:r>
      <w:r>
        <w:rPr>
          <w:spacing w:val="-3"/>
        </w:rPr>
        <w:t xml:space="preserve">in </w:t>
      </w:r>
      <w:r>
        <w:t xml:space="preserve">good faith that discloses or demonstrates information that </w:t>
      </w:r>
      <w:r>
        <w:rPr>
          <w:spacing w:val="-2"/>
        </w:rPr>
        <w:t xml:space="preserve">may </w:t>
      </w:r>
      <w:r>
        <w:t>evidence unethical or improper</w:t>
      </w:r>
      <w:r>
        <w:rPr>
          <w:spacing w:val="-7"/>
        </w:rPr>
        <w:t xml:space="preserve"> </w:t>
      </w:r>
      <w:r>
        <w:t>activity.</w:t>
      </w:r>
    </w:p>
    <w:p w:rsidR="00F70036" w:rsidRDefault="003C789D">
      <w:pPr>
        <w:pStyle w:val="BodyText"/>
        <w:spacing w:before="5" w:line="237" w:lineRule="auto"/>
        <w:ind w:left="100" w:right="130"/>
        <w:jc w:val="both"/>
      </w:pPr>
      <w:r>
        <w:t xml:space="preserve">c. </w:t>
      </w:r>
      <w:r>
        <w:rPr>
          <w:b/>
        </w:rPr>
        <w:t xml:space="preserve">“Whistleblower” </w:t>
      </w:r>
      <w:r>
        <w:t>means an employee or director making a Protected Disclosure under this Policy.</w:t>
      </w:r>
    </w:p>
    <w:p w:rsidR="00F70036" w:rsidRDefault="00F70036">
      <w:pPr>
        <w:pStyle w:val="BodyText"/>
        <w:spacing w:before="6"/>
      </w:pPr>
    </w:p>
    <w:p w:rsidR="00F70036" w:rsidRDefault="003C789D">
      <w:pPr>
        <w:pStyle w:val="Heading2"/>
        <w:numPr>
          <w:ilvl w:val="0"/>
          <w:numId w:val="3"/>
        </w:numPr>
        <w:tabs>
          <w:tab w:val="left" w:pos="460"/>
        </w:tabs>
        <w:ind w:left="460" w:hanging="360"/>
      </w:pPr>
      <w:r>
        <w:t>Reporting</w:t>
      </w:r>
      <w:r>
        <w:rPr>
          <w:spacing w:val="1"/>
        </w:rPr>
        <w:t xml:space="preserve"> </w:t>
      </w:r>
      <w:r>
        <w:t>Responsibility</w:t>
      </w:r>
    </w:p>
    <w:p w:rsidR="00F70036" w:rsidRDefault="00F70036">
      <w:pPr>
        <w:sectPr w:rsidR="00F70036">
          <w:type w:val="continuous"/>
          <w:pgSz w:w="12240" w:h="15840"/>
          <w:pgMar w:top="1380" w:right="1680" w:bottom="280" w:left="1700" w:header="720" w:footer="720" w:gutter="0"/>
          <w:cols w:space="720"/>
        </w:sectPr>
      </w:pPr>
    </w:p>
    <w:p w:rsidR="00F70036" w:rsidRDefault="003C789D">
      <w:pPr>
        <w:pStyle w:val="BodyText"/>
        <w:spacing w:before="74" w:line="237" w:lineRule="auto"/>
        <w:ind w:left="100" w:right="119"/>
        <w:jc w:val="both"/>
      </w:pPr>
      <w:r>
        <w:lastRenderedPageBreak/>
        <w:t xml:space="preserve">It </w:t>
      </w:r>
      <w:r>
        <w:rPr>
          <w:spacing w:val="-3"/>
        </w:rPr>
        <w:t xml:space="preserve">is </w:t>
      </w:r>
      <w:r>
        <w:t xml:space="preserve">the responsibility of all directors, officers, and employees to report Wrongful Conduct </w:t>
      </w:r>
      <w:r>
        <w:rPr>
          <w:spacing w:val="-3"/>
        </w:rPr>
        <w:t xml:space="preserve">in </w:t>
      </w:r>
      <w:r>
        <w:t>accordance with this Whistleblower</w:t>
      </w:r>
      <w:r>
        <w:rPr>
          <w:spacing w:val="9"/>
        </w:rPr>
        <w:t xml:space="preserve"> </w:t>
      </w:r>
      <w:r>
        <w:t>Policy.</w:t>
      </w:r>
    </w:p>
    <w:p w:rsidR="00F70036" w:rsidRDefault="00F70036">
      <w:pPr>
        <w:pStyle w:val="BodyText"/>
        <w:spacing w:before="5"/>
      </w:pPr>
    </w:p>
    <w:p w:rsidR="00F70036" w:rsidRDefault="003C789D">
      <w:pPr>
        <w:pStyle w:val="Heading2"/>
        <w:numPr>
          <w:ilvl w:val="0"/>
          <w:numId w:val="3"/>
        </w:numPr>
        <w:tabs>
          <w:tab w:val="left" w:pos="460"/>
        </w:tabs>
        <w:spacing w:before="1"/>
        <w:ind w:left="460" w:hanging="360"/>
      </w:pPr>
      <w:r>
        <w:t>Wrongful</w:t>
      </w:r>
      <w:r>
        <w:rPr>
          <w:spacing w:val="-3"/>
        </w:rPr>
        <w:t xml:space="preserve"> </w:t>
      </w:r>
      <w:r>
        <w:t>Conduct</w:t>
      </w:r>
    </w:p>
    <w:p w:rsidR="00F70036" w:rsidRDefault="00F70036">
      <w:pPr>
        <w:pStyle w:val="BodyText"/>
        <w:spacing w:before="6"/>
        <w:rPr>
          <w:b/>
          <w:sz w:val="23"/>
        </w:rPr>
      </w:pPr>
    </w:p>
    <w:p w:rsidR="00F70036" w:rsidRDefault="003C789D">
      <w:pPr>
        <w:pStyle w:val="BodyText"/>
        <w:ind w:left="100" w:right="122"/>
        <w:jc w:val="both"/>
      </w:pPr>
      <w:r>
        <w:t xml:space="preserve">“Wrongful Conduct” </w:t>
      </w:r>
      <w:r>
        <w:rPr>
          <w:spacing w:val="-3"/>
        </w:rPr>
        <w:t xml:space="preserve">is </w:t>
      </w:r>
      <w:r>
        <w:t xml:space="preserve">defined </w:t>
      </w:r>
      <w:r>
        <w:rPr>
          <w:spacing w:val="-3"/>
        </w:rPr>
        <w:t xml:space="preserve">in </w:t>
      </w:r>
      <w:r>
        <w:t xml:space="preserve">this Whistleblower Policy </w:t>
      </w:r>
      <w:r>
        <w:rPr>
          <w:spacing w:val="2"/>
        </w:rPr>
        <w:t xml:space="preserve">to </w:t>
      </w:r>
      <w:r>
        <w:t>include:</w:t>
      </w:r>
      <w:r>
        <w:t xml:space="preserve"> a serious violation of company’</w:t>
      </w:r>
      <w:r>
        <w:t>s policy; a violation of applicable state and federal law; or the use of company’s property, resources, or authority for personal gain or other non organization-related purpose except as provided under the</w:t>
      </w:r>
      <w:r>
        <w:rPr>
          <w:spacing w:val="10"/>
        </w:rPr>
        <w:t xml:space="preserve"> </w:t>
      </w:r>
      <w:r>
        <w:t>policy</w:t>
      </w:r>
    </w:p>
    <w:p w:rsidR="00F70036" w:rsidRDefault="00F70036">
      <w:pPr>
        <w:pStyle w:val="BodyText"/>
        <w:spacing w:before="3"/>
      </w:pPr>
    </w:p>
    <w:p w:rsidR="00F70036" w:rsidRDefault="003C789D">
      <w:pPr>
        <w:pStyle w:val="BodyText"/>
        <w:ind w:left="100" w:right="120"/>
        <w:jc w:val="both"/>
      </w:pPr>
      <w:r>
        <w:t xml:space="preserve">This definition </w:t>
      </w:r>
      <w:r>
        <w:rPr>
          <w:spacing w:val="4"/>
        </w:rPr>
        <w:t xml:space="preserve">of </w:t>
      </w:r>
      <w:r>
        <w:t xml:space="preserve">Wrongful Conduct </w:t>
      </w:r>
      <w:r>
        <w:rPr>
          <w:spacing w:val="-5"/>
        </w:rPr>
        <w:t xml:space="preserve">is </w:t>
      </w:r>
      <w:r>
        <w:t>not</w:t>
      </w:r>
      <w:r>
        <w:t xml:space="preserve"> intended </w:t>
      </w:r>
      <w:r>
        <w:rPr>
          <w:spacing w:val="2"/>
        </w:rPr>
        <w:t xml:space="preserve">to </w:t>
      </w:r>
      <w:r>
        <w:rPr>
          <w:spacing w:val="-3"/>
        </w:rPr>
        <w:t xml:space="preserve">be </w:t>
      </w:r>
      <w:r>
        <w:t xml:space="preserve">an exclusive listing </w:t>
      </w:r>
      <w:r>
        <w:rPr>
          <w:spacing w:val="4"/>
        </w:rPr>
        <w:t xml:space="preserve">of </w:t>
      </w:r>
      <w:r>
        <w:t xml:space="preserve">the illegal or improper activity encompassed by the Whistleblower Policy. Rather, the Whistleblower Policy </w:t>
      </w:r>
      <w:r>
        <w:rPr>
          <w:spacing w:val="-3"/>
        </w:rPr>
        <w:t xml:space="preserve">is </w:t>
      </w:r>
      <w:r>
        <w:t xml:space="preserve">intended to serve as a means of reporting all serious improprieties that potentially impact the integrity </w:t>
      </w:r>
      <w:r>
        <w:t xml:space="preserve">and effective operation </w:t>
      </w:r>
      <w:r>
        <w:rPr>
          <w:spacing w:val="4"/>
        </w:rPr>
        <w:t xml:space="preserve">of </w:t>
      </w:r>
      <w:r>
        <w:t>the Company.</w:t>
      </w:r>
    </w:p>
    <w:p w:rsidR="00F70036" w:rsidRDefault="00F70036">
      <w:pPr>
        <w:pStyle w:val="BodyText"/>
        <w:spacing w:before="5"/>
      </w:pPr>
    </w:p>
    <w:p w:rsidR="00F70036" w:rsidRDefault="003C789D">
      <w:pPr>
        <w:pStyle w:val="Heading2"/>
        <w:numPr>
          <w:ilvl w:val="0"/>
          <w:numId w:val="3"/>
        </w:numPr>
        <w:tabs>
          <w:tab w:val="left" w:pos="522"/>
          <w:tab w:val="left" w:pos="523"/>
        </w:tabs>
      </w:pPr>
      <w:r>
        <w:t>No</w:t>
      </w:r>
      <w:r>
        <w:rPr>
          <w:spacing w:val="1"/>
        </w:rPr>
        <w:t xml:space="preserve"> </w:t>
      </w:r>
      <w:r>
        <w:t>Retaliation</w:t>
      </w:r>
    </w:p>
    <w:p w:rsidR="00F70036" w:rsidRDefault="00F70036">
      <w:pPr>
        <w:pStyle w:val="BodyText"/>
        <w:spacing w:before="6"/>
        <w:rPr>
          <w:b/>
          <w:sz w:val="23"/>
        </w:rPr>
      </w:pPr>
    </w:p>
    <w:p w:rsidR="00F70036" w:rsidRDefault="003C789D">
      <w:pPr>
        <w:pStyle w:val="BodyText"/>
        <w:spacing w:before="1"/>
        <w:ind w:left="100" w:right="114"/>
        <w:jc w:val="both"/>
      </w:pPr>
      <w:r>
        <w:t xml:space="preserve">No director, officer, or employee who </w:t>
      </w:r>
      <w:r>
        <w:rPr>
          <w:spacing w:val="-3"/>
        </w:rPr>
        <w:t xml:space="preserve">in </w:t>
      </w:r>
      <w:r>
        <w:t>good faith reports Wrongful Conduct will suffer harassment, retaliation or adverse employment consequence. Any director, officer, or employee who retaliates a</w:t>
      </w:r>
      <w:r>
        <w:t xml:space="preserve">gainst anyone who has reported Wrongful Conduct </w:t>
      </w:r>
      <w:r>
        <w:rPr>
          <w:spacing w:val="-3"/>
        </w:rPr>
        <w:t xml:space="preserve">in </w:t>
      </w:r>
      <w:r>
        <w:t xml:space="preserve">good faith </w:t>
      </w:r>
      <w:r>
        <w:rPr>
          <w:spacing w:val="-3"/>
        </w:rPr>
        <w:t xml:space="preserve">is </w:t>
      </w:r>
      <w:r>
        <w:t xml:space="preserve">subject to discipline up to and including termination of employment or removal from the board or directors, as applicable. This Whistleblower Policy </w:t>
      </w:r>
      <w:r>
        <w:rPr>
          <w:spacing w:val="-3"/>
        </w:rPr>
        <w:t xml:space="preserve">is </w:t>
      </w:r>
      <w:r>
        <w:t xml:space="preserve">intended </w:t>
      </w:r>
      <w:r>
        <w:rPr>
          <w:spacing w:val="2"/>
        </w:rPr>
        <w:t xml:space="preserve">to </w:t>
      </w:r>
      <w:r>
        <w:t>encourage and enable employ</w:t>
      </w:r>
      <w:r>
        <w:t xml:space="preserve">ees and others </w:t>
      </w:r>
      <w:r>
        <w:rPr>
          <w:spacing w:val="2"/>
        </w:rPr>
        <w:t xml:space="preserve">to </w:t>
      </w:r>
      <w:r>
        <w:t>raise serious concerns within the company prior to seeking resolution outside the</w:t>
      </w:r>
      <w:r>
        <w:rPr>
          <w:spacing w:val="2"/>
        </w:rPr>
        <w:t xml:space="preserve"> </w:t>
      </w:r>
      <w:r>
        <w:t>company.</w:t>
      </w:r>
    </w:p>
    <w:p w:rsidR="00F70036" w:rsidRDefault="00F70036">
      <w:pPr>
        <w:pStyle w:val="BodyText"/>
        <w:spacing w:before="4"/>
      </w:pPr>
    </w:p>
    <w:p w:rsidR="00F70036" w:rsidRDefault="003C789D">
      <w:pPr>
        <w:pStyle w:val="Heading2"/>
        <w:numPr>
          <w:ilvl w:val="0"/>
          <w:numId w:val="3"/>
        </w:numPr>
        <w:tabs>
          <w:tab w:val="left" w:pos="522"/>
          <w:tab w:val="left" w:pos="523"/>
        </w:tabs>
        <w:spacing w:before="1"/>
      </w:pPr>
      <w:r>
        <w:t>Reporting Wrongful</w:t>
      </w:r>
      <w:r>
        <w:rPr>
          <w:spacing w:val="-1"/>
        </w:rPr>
        <w:t xml:space="preserve"> </w:t>
      </w:r>
      <w:r>
        <w:t>Conduct</w:t>
      </w:r>
    </w:p>
    <w:p w:rsidR="00F70036" w:rsidRDefault="00F70036">
      <w:pPr>
        <w:pStyle w:val="BodyText"/>
        <w:spacing w:before="6"/>
        <w:rPr>
          <w:b/>
          <w:sz w:val="23"/>
        </w:rPr>
      </w:pPr>
    </w:p>
    <w:p w:rsidR="00F70036" w:rsidRDefault="003C789D">
      <w:pPr>
        <w:pStyle w:val="BodyText"/>
        <w:ind w:left="100" w:right="115"/>
        <w:jc w:val="both"/>
      </w:pPr>
      <w:r>
        <w:t>SGN Telecoms</w:t>
      </w:r>
      <w:r>
        <w:t xml:space="preserve"> Limited encourages its directors, officers, and employees </w:t>
      </w:r>
      <w:r>
        <w:rPr>
          <w:spacing w:val="2"/>
        </w:rPr>
        <w:t xml:space="preserve">to </w:t>
      </w:r>
      <w:r>
        <w:t xml:space="preserve">share their questions, concerns, suggestions, or complaints with someone who can address them properly. Any director, officer, or employee may report Wrongful Conduct to the Executive Director or the Chairman of the board of directors/ Audit committee. If </w:t>
      </w:r>
      <w:r>
        <w:t xml:space="preserve">the Wrongful Conduct implicates one or both of the Executive Director or the chairman </w:t>
      </w:r>
      <w:r>
        <w:rPr>
          <w:spacing w:val="4"/>
        </w:rPr>
        <w:t xml:space="preserve">of </w:t>
      </w:r>
      <w:r>
        <w:t xml:space="preserve">the board of directors/ Audit Committee, or </w:t>
      </w:r>
      <w:r>
        <w:rPr>
          <w:spacing w:val="-3"/>
        </w:rPr>
        <w:t xml:space="preserve">if </w:t>
      </w:r>
      <w:r>
        <w:t xml:space="preserve">the reporting individual </w:t>
      </w:r>
      <w:r>
        <w:rPr>
          <w:spacing w:val="-3"/>
        </w:rPr>
        <w:t xml:space="preserve">is </w:t>
      </w:r>
      <w:r>
        <w:t xml:space="preserve">not comfortable speaking with or not satisfied with response </w:t>
      </w:r>
      <w:r>
        <w:rPr>
          <w:spacing w:val="4"/>
        </w:rPr>
        <w:t xml:space="preserve">of </w:t>
      </w:r>
      <w:r>
        <w:t>the foregoing individuals, t</w:t>
      </w:r>
      <w:r>
        <w:t xml:space="preserve">he issue may </w:t>
      </w:r>
      <w:r>
        <w:rPr>
          <w:spacing w:val="-3"/>
        </w:rPr>
        <w:t xml:space="preserve">be </w:t>
      </w:r>
      <w:r>
        <w:t xml:space="preserve">reported to any member </w:t>
      </w:r>
      <w:r>
        <w:rPr>
          <w:spacing w:val="4"/>
        </w:rPr>
        <w:t xml:space="preserve">of </w:t>
      </w:r>
      <w:r>
        <w:t xml:space="preserve">the board of directors. The Executive Director, Chairman of the board of directors, and all members of the board of directors to whom a report of Wrongful Conduct </w:t>
      </w:r>
      <w:r>
        <w:rPr>
          <w:spacing w:val="-5"/>
        </w:rPr>
        <w:t xml:space="preserve">is </w:t>
      </w:r>
      <w:r>
        <w:t>made are required to immediately advise the full board of directors of such report of Wrongful</w:t>
      </w:r>
      <w:r>
        <w:rPr>
          <w:spacing w:val="-24"/>
        </w:rPr>
        <w:t xml:space="preserve"> </w:t>
      </w:r>
      <w:r>
        <w:t>Conduct.</w:t>
      </w:r>
    </w:p>
    <w:p w:rsidR="00F70036" w:rsidRDefault="00F70036">
      <w:pPr>
        <w:pStyle w:val="BodyText"/>
        <w:spacing w:before="5"/>
      </w:pPr>
    </w:p>
    <w:p w:rsidR="00F70036" w:rsidRDefault="003C789D">
      <w:pPr>
        <w:pStyle w:val="Heading2"/>
        <w:numPr>
          <w:ilvl w:val="0"/>
          <w:numId w:val="3"/>
        </w:numPr>
        <w:tabs>
          <w:tab w:val="left" w:pos="460"/>
        </w:tabs>
        <w:ind w:left="460" w:hanging="360"/>
      </w:pPr>
      <w:r>
        <w:t>Acting in Good</w:t>
      </w:r>
      <w:r>
        <w:rPr>
          <w:spacing w:val="-3"/>
        </w:rPr>
        <w:t xml:space="preserve"> </w:t>
      </w:r>
      <w:r>
        <w:t>Faith</w:t>
      </w:r>
    </w:p>
    <w:p w:rsidR="00F70036" w:rsidRDefault="00F70036">
      <w:pPr>
        <w:pStyle w:val="BodyText"/>
        <w:spacing w:before="7"/>
        <w:rPr>
          <w:b/>
          <w:sz w:val="23"/>
        </w:rPr>
      </w:pPr>
    </w:p>
    <w:p w:rsidR="00F70036" w:rsidRDefault="003C789D">
      <w:pPr>
        <w:pStyle w:val="BodyText"/>
        <w:ind w:left="100" w:right="127"/>
        <w:jc w:val="both"/>
      </w:pPr>
      <w:r>
        <w:t>Anyone filing a complaint of Wrongful Conduct must be acting in good faith and have reasonable grounds for believing the informat</w:t>
      </w:r>
      <w:r>
        <w:t>ion disclosed indicates Wrongful Conduct. Any allegations that prove not to be substantiated and which prove to have been made maliciously or knowingly to be false will be viewed as a serious disciplinary offense.</w:t>
      </w:r>
    </w:p>
    <w:p w:rsidR="00F70036" w:rsidRDefault="00F70036">
      <w:pPr>
        <w:jc w:val="both"/>
        <w:sectPr w:rsidR="00F70036">
          <w:pgSz w:w="12240" w:h="15840"/>
          <w:pgMar w:top="1360" w:right="1680" w:bottom="280" w:left="1700" w:header="720" w:footer="720" w:gutter="0"/>
          <w:cols w:space="720"/>
        </w:sectPr>
      </w:pPr>
    </w:p>
    <w:p w:rsidR="00F70036" w:rsidRDefault="00F70036">
      <w:pPr>
        <w:pStyle w:val="BodyText"/>
        <w:rPr>
          <w:sz w:val="20"/>
        </w:rPr>
      </w:pPr>
    </w:p>
    <w:p w:rsidR="00F70036" w:rsidRDefault="00F70036">
      <w:pPr>
        <w:pStyle w:val="BodyText"/>
        <w:rPr>
          <w:sz w:val="20"/>
        </w:rPr>
      </w:pPr>
    </w:p>
    <w:p w:rsidR="00F70036" w:rsidRDefault="00F70036">
      <w:pPr>
        <w:pStyle w:val="BodyText"/>
        <w:spacing w:before="5"/>
        <w:rPr>
          <w:sz w:val="18"/>
        </w:rPr>
      </w:pPr>
    </w:p>
    <w:p w:rsidR="00F70036" w:rsidRDefault="003C789D">
      <w:pPr>
        <w:pStyle w:val="Heading2"/>
        <w:numPr>
          <w:ilvl w:val="0"/>
          <w:numId w:val="3"/>
        </w:numPr>
        <w:tabs>
          <w:tab w:val="left" w:pos="460"/>
        </w:tabs>
        <w:spacing w:before="90"/>
        <w:ind w:left="460" w:hanging="360"/>
      </w:pPr>
      <w:r>
        <w:t>Confidentiality</w:t>
      </w:r>
    </w:p>
    <w:p w:rsidR="00F70036" w:rsidRDefault="00F70036">
      <w:pPr>
        <w:pStyle w:val="BodyText"/>
        <w:spacing w:before="7"/>
        <w:rPr>
          <w:b/>
          <w:sz w:val="23"/>
        </w:rPr>
      </w:pPr>
    </w:p>
    <w:p w:rsidR="00F70036" w:rsidRDefault="003C789D">
      <w:pPr>
        <w:pStyle w:val="BodyText"/>
        <w:ind w:left="100" w:right="123"/>
        <w:jc w:val="both"/>
      </w:pPr>
      <w:r>
        <w:t>Reports of W</w:t>
      </w:r>
      <w:r>
        <w:t>rongful Conduct or suspected Wrongful Conduct may be submitted on a confidential basis by the complainant or may be submitted anonymously. Reports of Wrongful Conduct or suspected Wrongful Conduct will be kept confidential to the extent possible, consisten</w:t>
      </w:r>
      <w:r>
        <w:t>t with the need to conduct an adequate investigation.</w:t>
      </w:r>
    </w:p>
    <w:p w:rsidR="00F70036" w:rsidRDefault="00F70036">
      <w:pPr>
        <w:pStyle w:val="BodyText"/>
        <w:spacing w:before="7"/>
      </w:pPr>
    </w:p>
    <w:p w:rsidR="00F70036" w:rsidRDefault="003C789D">
      <w:pPr>
        <w:pStyle w:val="Heading2"/>
        <w:numPr>
          <w:ilvl w:val="0"/>
          <w:numId w:val="3"/>
        </w:numPr>
        <w:tabs>
          <w:tab w:val="left" w:pos="522"/>
          <w:tab w:val="left" w:pos="523"/>
        </w:tabs>
      </w:pPr>
      <w:r>
        <w:t>Handling of Reported Wrongful</w:t>
      </w:r>
      <w:r>
        <w:rPr>
          <w:spacing w:val="1"/>
        </w:rPr>
        <w:t xml:space="preserve"> </w:t>
      </w:r>
      <w:r>
        <w:t>Conduct</w:t>
      </w:r>
    </w:p>
    <w:p w:rsidR="00F70036" w:rsidRDefault="00F70036">
      <w:pPr>
        <w:pStyle w:val="BodyText"/>
        <w:spacing w:before="7"/>
        <w:rPr>
          <w:b/>
          <w:sz w:val="23"/>
        </w:rPr>
      </w:pPr>
    </w:p>
    <w:p w:rsidR="00F70036" w:rsidRDefault="003C789D">
      <w:pPr>
        <w:pStyle w:val="BodyText"/>
        <w:ind w:left="100" w:right="122"/>
        <w:jc w:val="both"/>
      </w:pPr>
      <w:r>
        <w:t>A representative of the board of directors will notify the sender and acknowledge receipt of the reported Wrongful Conduct or suspected Wrongful Conduct within fi</w:t>
      </w:r>
      <w:r>
        <w:t>ve business days, unless such report was submitted anonymously. All reports will be promptly investigated and appropriate corrective action will be taken if warranted by the investigation.</w:t>
      </w:r>
    </w:p>
    <w:p w:rsidR="00F70036" w:rsidRDefault="00F70036">
      <w:pPr>
        <w:pStyle w:val="BodyText"/>
        <w:spacing w:before="5"/>
      </w:pPr>
    </w:p>
    <w:p w:rsidR="00F70036" w:rsidRDefault="003C789D">
      <w:pPr>
        <w:pStyle w:val="Heading2"/>
        <w:numPr>
          <w:ilvl w:val="0"/>
          <w:numId w:val="3"/>
        </w:numPr>
        <w:tabs>
          <w:tab w:val="left" w:pos="460"/>
        </w:tabs>
        <w:ind w:left="460" w:hanging="360"/>
      </w:pPr>
      <w:r>
        <w:t>Retention of</w:t>
      </w:r>
      <w:r>
        <w:rPr>
          <w:spacing w:val="1"/>
        </w:rPr>
        <w:t xml:space="preserve"> </w:t>
      </w:r>
      <w:r>
        <w:t>documents</w:t>
      </w:r>
    </w:p>
    <w:p w:rsidR="00F70036" w:rsidRDefault="00F70036">
      <w:pPr>
        <w:pStyle w:val="BodyText"/>
        <w:spacing w:before="9"/>
        <w:rPr>
          <w:b/>
          <w:sz w:val="23"/>
        </w:rPr>
      </w:pPr>
    </w:p>
    <w:p w:rsidR="00F70036" w:rsidRDefault="003C789D">
      <w:pPr>
        <w:pStyle w:val="BodyText"/>
        <w:spacing w:line="237" w:lineRule="auto"/>
        <w:ind w:left="100" w:right="124"/>
        <w:jc w:val="both"/>
      </w:pPr>
      <w:r>
        <w:t>All Protected Disclosures in writing or documented along with the results of investigation relating thereto shall be retained by the Company for a minimum period of seven years.</w:t>
      </w:r>
    </w:p>
    <w:p w:rsidR="00F70036" w:rsidRDefault="00F70036">
      <w:pPr>
        <w:pStyle w:val="BodyText"/>
        <w:spacing w:before="5"/>
      </w:pPr>
    </w:p>
    <w:p w:rsidR="00F70036" w:rsidRDefault="003C789D">
      <w:pPr>
        <w:pStyle w:val="Heading2"/>
        <w:numPr>
          <w:ilvl w:val="0"/>
          <w:numId w:val="3"/>
        </w:numPr>
        <w:tabs>
          <w:tab w:val="left" w:pos="460"/>
        </w:tabs>
        <w:spacing w:before="1"/>
        <w:ind w:left="460" w:hanging="360"/>
      </w:pPr>
      <w:r>
        <w:t>Amendment</w:t>
      </w:r>
    </w:p>
    <w:p w:rsidR="00F70036" w:rsidRDefault="00F70036">
      <w:pPr>
        <w:pStyle w:val="BodyText"/>
        <w:spacing w:before="6"/>
        <w:rPr>
          <w:b/>
          <w:sz w:val="23"/>
        </w:rPr>
      </w:pPr>
    </w:p>
    <w:p w:rsidR="00F70036" w:rsidRDefault="003C789D">
      <w:pPr>
        <w:pStyle w:val="BodyText"/>
        <w:ind w:left="100" w:right="119"/>
        <w:jc w:val="both"/>
      </w:pPr>
      <w:r>
        <w:t>The Company reserves its right to amend or modify this Policy in w</w:t>
      </w:r>
      <w:r>
        <w:t>hole or in part, at any time without assigning any reason whatsoever. However, no such amendment or modification will be binding on the employees and directors unless the same is notified to the employees and directors in writing.</w:t>
      </w:r>
    </w:p>
    <w:p w:rsidR="00F70036" w:rsidRDefault="00F70036">
      <w:pPr>
        <w:pStyle w:val="BodyText"/>
        <w:rPr>
          <w:sz w:val="26"/>
        </w:rPr>
      </w:pPr>
    </w:p>
    <w:p w:rsidR="00F70036" w:rsidRDefault="00F70036">
      <w:pPr>
        <w:pStyle w:val="BodyText"/>
        <w:spacing w:before="6"/>
        <w:rPr>
          <w:sz w:val="22"/>
        </w:rPr>
      </w:pPr>
    </w:p>
    <w:p w:rsidR="00F70036" w:rsidRDefault="003C789D">
      <w:pPr>
        <w:pStyle w:val="BodyText"/>
        <w:ind w:left="1695" w:right="980"/>
        <w:jc w:val="center"/>
        <w:rPr>
          <w:rFonts w:ascii="Cambria"/>
        </w:rPr>
      </w:pPr>
      <w:r>
        <w:rPr>
          <w:rFonts w:ascii="Cambria"/>
        </w:rPr>
        <w:t>***************</w:t>
      </w:r>
    </w:p>
    <w:sectPr w:rsidR="00F70036" w:rsidSect="00F70036">
      <w:pgSz w:w="12240" w:h="15840"/>
      <w:pgMar w:top="1500" w:right="168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2F2A"/>
    <w:multiLevelType w:val="hybridMultilevel"/>
    <w:tmpl w:val="4E28CC96"/>
    <w:lvl w:ilvl="0" w:tplc="40F8F7D4">
      <w:start w:val="1"/>
      <w:numFmt w:val="decimal"/>
      <w:lvlText w:val="%1."/>
      <w:lvlJc w:val="left"/>
      <w:pPr>
        <w:ind w:left="522" w:hanging="423"/>
        <w:jc w:val="left"/>
      </w:pPr>
      <w:rPr>
        <w:rFonts w:ascii="Times New Roman" w:eastAsia="Times New Roman" w:hAnsi="Times New Roman" w:cs="Times New Roman" w:hint="default"/>
        <w:b/>
        <w:bCs/>
        <w:w w:val="99"/>
        <w:sz w:val="24"/>
        <w:szCs w:val="24"/>
        <w:lang w:val="en-US" w:eastAsia="en-US" w:bidi="en-US"/>
      </w:rPr>
    </w:lvl>
    <w:lvl w:ilvl="1" w:tplc="434AD980">
      <w:numFmt w:val="bullet"/>
      <w:lvlText w:val="•"/>
      <w:lvlJc w:val="left"/>
      <w:pPr>
        <w:ind w:left="1354" w:hanging="423"/>
      </w:pPr>
      <w:rPr>
        <w:rFonts w:hint="default"/>
        <w:lang w:val="en-US" w:eastAsia="en-US" w:bidi="en-US"/>
      </w:rPr>
    </w:lvl>
    <w:lvl w:ilvl="2" w:tplc="8A0A3682">
      <w:numFmt w:val="bullet"/>
      <w:lvlText w:val="•"/>
      <w:lvlJc w:val="left"/>
      <w:pPr>
        <w:ind w:left="2188" w:hanging="423"/>
      </w:pPr>
      <w:rPr>
        <w:rFonts w:hint="default"/>
        <w:lang w:val="en-US" w:eastAsia="en-US" w:bidi="en-US"/>
      </w:rPr>
    </w:lvl>
    <w:lvl w:ilvl="3" w:tplc="89867004">
      <w:numFmt w:val="bullet"/>
      <w:lvlText w:val="•"/>
      <w:lvlJc w:val="left"/>
      <w:pPr>
        <w:ind w:left="3022" w:hanging="423"/>
      </w:pPr>
      <w:rPr>
        <w:rFonts w:hint="default"/>
        <w:lang w:val="en-US" w:eastAsia="en-US" w:bidi="en-US"/>
      </w:rPr>
    </w:lvl>
    <w:lvl w:ilvl="4" w:tplc="D688CFEE">
      <w:numFmt w:val="bullet"/>
      <w:lvlText w:val="•"/>
      <w:lvlJc w:val="left"/>
      <w:pPr>
        <w:ind w:left="3856" w:hanging="423"/>
      </w:pPr>
      <w:rPr>
        <w:rFonts w:hint="default"/>
        <w:lang w:val="en-US" w:eastAsia="en-US" w:bidi="en-US"/>
      </w:rPr>
    </w:lvl>
    <w:lvl w:ilvl="5" w:tplc="982075E8">
      <w:numFmt w:val="bullet"/>
      <w:lvlText w:val="•"/>
      <w:lvlJc w:val="left"/>
      <w:pPr>
        <w:ind w:left="4690" w:hanging="423"/>
      </w:pPr>
      <w:rPr>
        <w:rFonts w:hint="default"/>
        <w:lang w:val="en-US" w:eastAsia="en-US" w:bidi="en-US"/>
      </w:rPr>
    </w:lvl>
    <w:lvl w:ilvl="6" w:tplc="A726D8D0">
      <w:numFmt w:val="bullet"/>
      <w:lvlText w:val="•"/>
      <w:lvlJc w:val="left"/>
      <w:pPr>
        <w:ind w:left="5524" w:hanging="423"/>
      </w:pPr>
      <w:rPr>
        <w:rFonts w:hint="default"/>
        <w:lang w:val="en-US" w:eastAsia="en-US" w:bidi="en-US"/>
      </w:rPr>
    </w:lvl>
    <w:lvl w:ilvl="7" w:tplc="610691CC">
      <w:numFmt w:val="bullet"/>
      <w:lvlText w:val="•"/>
      <w:lvlJc w:val="left"/>
      <w:pPr>
        <w:ind w:left="6358" w:hanging="423"/>
      </w:pPr>
      <w:rPr>
        <w:rFonts w:hint="default"/>
        <w:lang w:val="en-US" w:eastAsia="en-US" w:bidi="en-US"/>
      </w:rPr>
    </w:lvl>
    <w:lvl w:ilvl="8" w:tplc="D4DCAD9C">
      <w:numFmt w:val="bullet"/>
      <w:lvlText w:val="•"/>
      <w:lvlJc w:val="left"/>
      <w:pPr>
        <w:ind w:left="7192" w:hanging="423"/>
      </w:pPr>
      <w:rPr>
        <w:rFonts w:hint="default"/>
        <w:lang w:val="en-US" w:eastAsia="en-US" w:bidi="en-US"/>
      </w:rPr>
    </w:lvl>
  </w:abstractNum>
  <w:abstractNum w:abstractNumId="1">
    <w:nsid w:val="153C4171"/>
    <w:multiLevelType w:val="hybridMultilevel"/>
    <w:tmpl w:val="C05AF5FA"/>
    <w:lvl w:ilvl="0" w:tplc="35A6AD7E">
      <w:numFmt w:val="bullet"/>
      <w:lvlText w:val="□"/>
      <w:lvlJc w:val="left"/>
      <w:pPr>
        <w:ind w:left="100" w:hanging="308"/>
      </w:pPr>
      <w:rPr>
        <w:rFonts w:ascii="Arial Black" w:eastAsia="Arial Black" w:hAnsi="Arial Black" w:cs="Arial Black" w:hint="default"/>
        <w:w w:val="165"/>
        <w:sz w:val="24"/>
        <w:szCs w:val="24"/>
        <w:lang w:val="en-US" w:eastAsia="en-US" w:bidi="en-US"/>
      </w:rPr>
    </w:lvl>
    <w:lvl w:ilvl="1" w:tplc="574206F4">
      <w:numFmt w:val="bullet"/>
      <w:lvlText w:val="•"/>
      <w:lvlJc w:val="left"/>
      <w:pPr>
        <w:ind w:left="976" w:hanging="308"/>
      </w:pPr>
      <w:rPr>
        <w:rFonts w:hint="default"/>
        <w:lang w:val="en-US" w:eastAsia="en-US" w:bidi="en-US"/>
      </w:rPr>
    </w:lvl>
    <w:lvl w:ilvl="2" w:tplc="2C8C3A82">
      <w:numFmt w:val="bullet"/>
      <w:lvlText w:val="•"/>
      <w:lvlJc w:val="left"/>
      <w:pPr>
        <w:ind w:left="1852" w:hanging="308"/>
      </w:pPr>
      <w:rPr>
        <w:rFonts w:hint="default"/>
        <w:lang w:val="en-US" w:eastAsia="en-US" w:bidi="en-US"/>
      </w:rPr>
    </w:lvl>
    <w:lvl w:ilvl="3" w:tplc="E1E6BB24">
      <w:numFmt w:val="bullet"/>
      <w:lvlText w:val="•"/>
      <w:lvlJc w:val="left"/>
      <w:pPr>
        <w:ind w:left="2728" w:hanging="308"/>
      </w:pPr>
      <w:rPr>
        <w:rFonts w:hint="default"/>
        <w:lang w:val="en-US" w:eastAsia="en-US" w:bidi="en-US"/>
      </w:rPr>
    </w:lvl>
    <w:lvl w:ilvl="4" w:tplc="05829FDE">
      <w:numFmt w:val="bullet"/>
      <w:lvlText w:val="•"/>
      <w:lvlJc w:val="left"/>
      <w:pPr>
        <w:ind w:left="3604" w:hanging="308"/>
      </w:pPr>
      <w:rPr>
        <w:rFonts w:hint="default"/>
        <w:lang w:val="en-US" w:eastAsia="en-US" w:bidi="en-US"/>
      </w:rPr>
    </w:lvl>
    <w:lvl w:ilvl="5" w:tplc="6E8EDF36">
      <w:numFmt w:val="bullet"/>
      <w:lvlText w:val="•"/>
      <w:lvlJc w:val="left"/>
      <w:pPr>
        <w:ind w:left="4480" w:hanging="308"/>
      </w:pPr>
      <w:rPr>
        <w:rFonts w:hint="default"/>
        <w:lang w:val="en-US" w:eastAsia="en-US" w:bidi="en-US"/>
      </w:rPr>
    </w:lvl>
    <w:lvl w:ilvl="6" w:tplc="9CC009F6">
      <w:numFmt w:val="bullet"/>
      <w:lvlText w:val="•"/>
      <w:lvlJc w:val="left"/>
      <w:pPr>
        <w:ind w:left="5356" w:hanging="308"/>
      </w:pPr>
      <w:rPr>
        <w:rFonts w:hint="default"/>
        <w:lang w:val="en-US" w:eastAsia="en-US" w:bidi="en-US"/>
      </w:rPr>
    </w:lvl>
    <w:lvl w:ilvl="7" w:tplc="9D148CA2">
      <w:numFmt w:val="bullet"/>
      <w:lvlText w:val="•"/>
      <w:lvlJc w:val="left"/>
      <w:pPr>
        <w:ind w:left="6232" w:hanging="308"/>
      </w:pPr>
      <w:rPr>
        <w:rFonts w:hint="default"/>
        <w:lang w:val="en-US" w:eastAsia="en-US" w:bidi="en-US"/>
      </w:rPr>
    </w:lvl>
    <w:lvl w:ilvl="8" w:tplc="95462014">
      <w:numFmt w:val="bullet"/>
      <w:lvlText w:val="•"/>
      <w:lvlJc w:val="left"/>
      <w:pPr>
        <w:ind w:left="7108" w:hanging="308"/>
      </w:pPr>
      <w:rPr>
        <w:rFonts w:hint="default"/>
        <w:lang w:val="en-US" w:eastAsia="en-US" w:bidi="en-US"/>
      </w:rPr>
    </w:lvl>
  </w:abstractNum>
  <w:abstractNum w:abstractNumId="2">
    <w:nsid w:val="6BC108E2"/>
    <w:multiLevelType w:val="hybridMultilevel"/>
    <w:tmpl w:val="D948613A"/>
    <w:lvl w:ilvl="0" w:tplc="62769E0A">
      <w:start w:val="1"/>
      <w:numFmt w:val="lowerLetter"/>
      <w:lvlText w:val="%1."/>
      <w:lvlJc w:val="left"/>
      <w:pPr>
        <w:ind w:left="100" w:hanging="231"/>
        <w:jc w:val="left"/>
      </w:pPr>
      <w:rPr>
        <w:rFonts w:ascii="Times New Roman" w:eastAsia="Times New Roman" w:hAnsi="Times New Roman" w:cs="Times New Roman" w:hint="default"/>
        <w:spacing w:val="-1"/>
        <w:w w:val="99"/>
        <w:sz w:val="24"/>
        <w:szCs w:val="24"/>
        <w:lang w:val="en-US" w:eastAsia="en-US" w:bidi="en-US"/>
      </w:rPr>
    </w:lvl>
    <w:lvl w:ilvl="1" w:tplc="92E27FF2">
      <w:numFmt w:val="bullet"/>
      <w:lvlText w:val="•"/>
      <w:lvlJc w:val="left"/>
      <w:pPr>
        <w:ind w:left="976" w:hanging="231"/>
      </w:pPr>
      <w:rPr>
        <w:rFonts w:hint="default"/>
        <w:lang w:val="en-US" w:eastAsia="en-US" w:bidi="en-US"/>
      </w:rPr>
    </w:lvl>
    <w:lvl w:ilvl="2" w:tplc="EA74FF60">
      <w:numFmt w:val="bullet"/>
      <w:lvlText w:val="•"/>
      <w:lvlJc w:val="left"/>
      <w:pPr>
        <w:ind w:left="1852" w:hanging="231"/>
      </w:pPr>
      <w:rPr>
        <w:rFonts w:hint="default"/>
        <w:lang w:val="en-US" w:eastAsia="en-US" w:bidi="en-US"/>
      </w:rPr>
    </w:lvl>
    <w:lvl w:ilvl="3" w:tplc="C3ECEB02">
      <w:numFmt w:val="bullet"/>
      <w:lvlText w:val="•"/>
      <w:lvlJc w:val="left"/>
      <w:pPr>
        <w:ind w:left="2728" w:hanging="231"/>
      </w:pPr>
      <w:rPr>
        <w:rFonts w:hint="default"/>
        <w:lang w:val="en-US" w:eastAsia="en-US" w:bidi="en-US"/>
      </w:rPr>
    </w:lvl>
    <w:lvl w:ilvl="4" w:tplc="631ED44A">
      <w:numFmt w:val="bullet"/>
      <w:lvlText w:val="•"/>
      <w:lvlJc w:val="left"/>
      <w:pPr>
        <w:ind w:left="3604" w:hanging="231"/>
      </w:pPr>
      <w:rPr>
        <w:rFonts w:hint="default"/>
        <w:lang w:val="en-US" w:eastAsia="en-US" w:bidi="en-US"/>
      </w:rPr>
    </w:lvl>
    <w:lvl w:ilvl="5" w:tplc="B770E15E">
      <w:numFmt w:val="bullet"/>
      <w:lvlText w:val="•"/>
      <w:lvlJc w:val="left"/>
      <w:pPr>
        <w:ind w:left="4480" w:hanging="231"/>
      </w:pPr>
      <w:rPr>
        <w:rFonts w:hint="default"/>
        <w:lang w:val="en-US" w:eastAsia="en-US" w:bidi="en-US"/>
      </w:rPr>
    </w:lvl>
    <w:lvl w:ilvl="6" w:tplc="65B4300E">
      <w:numFmt w:val="bullet"/>
      <w:lvlText w:val="•"/>
      <w:lvlJc w:val="left"/>
      <w:pPr>
        <w:ind w:left="5356" w:hanging="231"/>
      </w:pPr>
      <w:rPr>
        <w:rFonts w:hint="default"/>
        <w:lang w:val="en-US" w:eastAsia="en-US" w:bidi="en-US"/>
      </w:rPr>
    </w:lvl>
    <w:lvl w:ilvl="7" w:tplc="FA367F84">
      <w:numFmt w:val="bullet"/>
      <w:lvlText w:val="•"/>
      <w:lvlJc w:val="left"/>
      <w:pPr>
        <w:ind w:left="6232" w:hanging="231"/>
      </w:pPr>
      <w:rPr>
        <w:rFonts w:hint="default"/>
        <w:lang w:val="en-US" w:eastAsia="en-US" w:bidi="en-US"/>
      </w:rPr>
    </w:lvl>
    <w:lvl w:ilvl="8" w:tplc="55DAEA40">
      <w:numFmt w:val="bullet"/>
      <w:lvlText w:val="•"/>
      <w:lvlJc w:val="left"/>
      <w:pPr>
        <w:ind w:left="7108" w:hanging="23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70036"/>
    <w:rsid w:val="003C789D"/>
    <w:rsid w:val="00F70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0036"/>
    <w:rPr>
      <w:rFonts w:ascii="Times New Roman" w:eastAsia="Times New Roman" w:hAnsi="Times New Roman" w:cs="Times New Roman"/>
      <w:lang w:bidi="en-US"/>
    </w:rPr>
  </w:style>
  <w:style w:type="paragraph" w:styleId="Heading1">
    <w:name w:val="heading 1"/>
    <w:basedOn w:val="Normal"/>
    <w:uiPriority w:val="1"/>
    <w:qFormat/>
    <w:rsid w:val="00F70036"/>
    <w:pPr>
      <w:spacing w:before="56"/>
      <w:ind w:left="1695" w:right="1712"/>
      <w:jc w:val="center"/>
      <w:outlineLvl w:val="0"/>
    </w:pPr>
    <w:rPr>
      <w:b/>
      <w:bCs/>
      <w:sz w:val="40"/>
      <w:szCs w:val="40"/>
      <w:u w:val="single" w:color="000000"/>
    </w:rPr>
  </w:style>
  <w:style w:type="paragraph" w:styleId="Heading2">
    <w:name w:val="heading 2"/>
    <w:basedOn w:val="Normal"/>
    <w:uiPriority w:val="1"/>
    <w:qFormat/>
    <w:rsid w:val="00F70036"/>
    <w:pPr>
      <w:ind w:left="46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0036"/>
    <w:rPr>
      <w:sz w:val="24"/>
      <w:szCs w:val="24"/>
    </w:rPr>
  </w:style>
  <w:style w:type="paragraph" w:styleId="ListParagraph">
    <w:name w:val="List Paragraph"/>
    <w:basedOn w:val="Normal"/>
    <w:uiPriority w:val="1"/>
    <w:qFormat/>
    <w:rsid w:val="00F70036"/>
    <w:pPr>
      <w:ind w:left="460" w:hanging="360"/>
    </w:pPr>
  </w:style>
  <w:style w:type="paragraph" w:customStyle="1" w:styleId="TableParagraph">
    <w:name w:val="Table Paragraph"/>
    <w:basedOn w:val="Normal"/>
    <w:uiPriority w:val="1"/>
    <w:qFormat/>
    <w:rsid w:val="00F700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Whistleblower Policy</dc:title>
  <dc:creator>a</dc:creator>
  <cp:lastModifiedBy>lenovo</cp:lastModifiedBy>
  <cp:revision>2</cp:revision>
  <dcterms:created xsi:type="dcterms:W3CDTF">2019-12-12T07:31:00Z</dcterms:created>
  <dcterms:modified xsi:type="dcterms:W3CDTF">2019-12-12T08:15:00Z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Microsoft Word - Whistleblower Policy</vt:lpwstr>
  </property>
  <property fmtid="{D5CDD505-2E9C-101B-9397-08002B2CF9AE}" pid="4" name="LastSaved">
    <vt:filetime>2015-04-28T00:00:00Z</vt:filetime>
  </property>
</Properties>
</file>